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D309" w14:textId="0784F6A3" w:rsidR="006A769F" w:rsidRPr="006A769F" w:rsidRDefault="006A769F" w:rsidP="006A769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Оила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ва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хотин-қизлар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билан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ишлаш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маҳалла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ва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нуронийларни</w:t>
      </w:r>
      <w:proofErr w:type="spellEnd"/>
    </w:p>
    <w:p w14:paraId="2388DCCF" w14:textId="12F690AD" w:rsidR="006A769F" w:rsidRPr="006A769F" w:rsidRDefault="006A769F" w:rsidP="006A769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қўллаб-қувватлашга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оид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Ўзбекистон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Республикаси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Президентининг</w:t>
      </w:r>
      <w:proofErr w:type="spellEnd"/>
    </w:p>
    <w:p w14:paraId="33193B71" w14:textId="7439781D" w:rsidR="006A769F" w:rsidRDefault="006A769F" w:rsidP="006A769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айрим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ҳужжатлари</w:t>
      </w:r>
      <w:proofErr w:type="spellEnd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(ПФ–81-сон, ПҚ–146-сон) </w:t>
      </w:r>
      <w:proofErr w:type="spellStart"/>
      <w:r w:rsidRPr="006A769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мазмун-моҳияти</w:t>
      </w:r>
      <w:proofErr w:type="spellEnd"/>
    </w:p>
    <w:p w14:paraId="5BC1E63F" w14:textId="77777777" w:rsidR="006A769F" w:rsidRDefault="006A769F" w:rsidP="006A769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14:paraId="523C061C" w14:textId="6C3D5223" w:rsidR="00372D2E" w:rsidRPr="006A769F" w:rsidRDefault="006A769F" w:rsidP="006A769F">
      <w:pPr>
        <w:spacing w:before="100" w:beforeAutospacing="1"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“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ишлаш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нуронийларни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тизимини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такомиллаштириш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чора-тадбирлари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тўғрисида”ги</w:t>
      </w:r>
      <w:proofErr w:type="spellEnd"/>
      <w:proofErr w:type="gram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Президент </w:t>
      </w:r>
      <w:proofErr w:type="spellStart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>фармони</w:t>
      </w:r>
      <w:proofErr w:type="spellEnd"/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372D2E" w:rsidRPr="006A769F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(ПФ–81-сон, 01.03.2022 й.)</w:t>
      </w:r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6A769F">
        <w:rPr>
          <w:rFonts w:ascii="Cambria" w:eastAsia="Times New Roman" w:hAnsi="Cambria" w:cs="Times New Roman"/>
          <w:sz w:val="28"/>
          <w:szCs w:val="28"/>
          <w:lang w:val="uz-Cyrl-UZ" w:eastAsia="ru-RU"/>
        </w:rPr>
        <w:t>қабул қилинди</w:t>
      </w:r>
      <w:r>
        <w:rPr>
          <w:rFonts w:ascii="Cambria" w:eastAsia="Times New Roman" w:hAnsi="Cambria" w:cs="Times New Roman"/>
          <w:sz w:val="28"/>
          <w:szCs w:val="28"/>
          <w:lang w:val="uz-Cyrl-UZ" w:eastAsia="ru-RU"/>
        </w:rPr>
        <w:t>.</w:t>
      </w:r>
      <w:r w:rsidR="00372D2E" w:rsidRPr="006A769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</w:p>
    <w:p w14:paraId="63C3471F" w14:textId="0464DA89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0" w:name="IpA9"/>
      <w:bookmarkEnd w:id="0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Фармон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давлат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қўмитаси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(</w:t>
      </w:r>
      <w:proofErr w:type="spellStart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Қўмита</w:t>
      </w:r>
      <w:proofErr w:type="spellEnd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)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ҳамда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ҳудудий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бўлинмалари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ташкил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558C6021" w14:textId="254FE083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" w:name="qJzu"/>
      <w:bookmarkEnd w:id="1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Қўмита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уларнинг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ҳуқуқ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қонуний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манфаатларини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ҳимоя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қилиш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соҳасидаги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ягона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давлат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сиёсатини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ишлаб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чиқиш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амалга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ошириш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бўйича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ваколатли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давлат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бошқаруви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органи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ҳисобланади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0550B319" w14:textId="22F82929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" w:name="8CrD"/>
      <w:bookmarkEnd w:id="2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масалаларига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оид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норматив-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ҳуқуқий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ҳужжатлар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лойиҳалари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Қўмита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мажбурий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тартибда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келишилади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68623371" w14:textId="77777777" w:rsidR="00F20470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3" w:name="fWvx"/>
      <w:bookmarkEnd w:id="3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Фармон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қуйидаги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киритилди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:</w:t>
      </w:r>
      <w:bookmarkStart w:id="4" w:name="3DWX"/>
      <w:bookmarkEnd w:id="4"/>
    </w:p>
    <w:p w14:paraId="4044A57D" w14:textId="77777777" w:rsidR="00F20470" w:rsidRDefault="00F20470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Вазирлар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Маҳкамасига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Бош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ўринбосари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давлат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қўмитаси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раиси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;</w:t>
      </w:r>
      <w:bookmarkStart w:id="5" w:name="X4lr"/>
      <w:bookmarkEnd w:id="5"/>
    </w:p>
    <w:p w14:paraId="3B795AD0" w14:textId="77777777" w:rsidR="00F20470" w:rsidRDefault="00F20470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Қорақалпоғистон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Республикаси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Вазирлар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Кенгашига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Вазирлар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Кенгаши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Раиси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ўринбосари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қўмитаси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раиси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;</w:t>
      </w:r>
      <w:bookmarkStart w:id="6" w:name="MBPL"/>
      <w:bookmarkEnd w:id="6"/>
    </w:p>
    <w:p w14:paraId="7B41312B" w14:textId="77777777" w:rsidR="00F20470" w:rsidRDefault="00F20470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вилоят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ҳокимликларига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ҳоким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ўринбосарлари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бошқармалари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бошлиқлари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;</w:t>
      </w:r>
      <w:bookmarkStart w:id="7" w:name="dZga"/>
      <w:bookmarkEnd w:id="7"/>
    </w:p>
    <w:p w14:paraId="14121233" w14:textId="0F083C5B" w:rsidR="00372D2E" w:rsidRPr="00372D2E" w:rsidRDefault="00F20470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туман (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шаҳар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)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ҳокимликларига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ҳоким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ўринбосарлари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бўлимлари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бошлиқлари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7E355D5A" w14:textId="77777777" w:rsidR="00F20470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8" w:name="P50l"/>
      <w:bookmarkEnd w:id="8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Қуйидаги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тугатилди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:</w:t>
      </w:r>
      <w:bookmarkStart w:id="9" w:name="GlZX"/>
      <w:bookmarkEnd w:id="9"/>
    </w:p>
    <w:p w14:paraId="19FF2A9C" w14:textId="77777777" w:rsidR="00F20470" w:rsidRDefault="00F20470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оилани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;</w:t>
      </w:r>
      <w:bookmarkStart w:id="10" w:name="ePfj"/>
      <w:bookmarkEnd w:id="10"/>
    </w:p>
    <w:p w14:paraId="2C821B86" w14:textId="77777777" w:rsidR="00F20470" w:rsidRDefault="00F20470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оилани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бошқармалари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бошлиқлари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;</w:t>
      </w:r>
      <w:bookmarkStart w:id="11" w:name="CF74"/>
      <w:bookmarkEnd w:id="11"/>
    </w:p>
    <w:p w14:paraId="37EC954F" w14:textId="1666B9DA" w:rsidR="00372D2E" w:rsidRPr="00372D2E" w:rsidRDefault="00F20470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оилани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бўлимлари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бошлиқлари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лавозимлари</w:t>
      </w:r>
      <w:proofErr w:type="spellEnd"/>
      <w:r w:rsidR="00372D2E"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0A28BA77" w14:textId="659157BE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2" w:name="FIAx"/>
      <w:bookmarkEnd w:id="12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шаҳарча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қишлоқ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овулда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фаоли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жорий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578614A3" w14:textId="0E26121B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3" w:name="1NfV"/>
      <w:bookmarkEnd w:id="13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Фармонга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кўра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вазирлиги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ҳамда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ҳудудий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бўлинмалари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негизида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тегишинча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нуронийларни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вазирлиги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ҳамда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ҳудудий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бўлинмалари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ташкил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4DD28DE7" w14:textId="1411E90B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4" w:name="BEis"/>
      <w:bookmarkEnd w:id="14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Вазирлик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нуроний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кексаларни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қўллаб-қувватлаш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уларнинг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ҳуқуқ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қонуний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манфаатларини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ҳимоя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қилиш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соҳасидаги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ягона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давлат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сиёсатини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ишлаб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чиқиш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амалга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ошириш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ҳамкорлик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ўрнатиш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бўйича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ваколатли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давлат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бошқаруви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органи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ҳисобланади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219AA4D8" w14:textId="0A91BD25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5" w:name="heU5"/>
      <w:bookmarkEnd w:id="15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нуроний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кексалар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масалаларига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оид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норматив-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ҳуқуқий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ҳужжатлар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лойиҳалари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Вазирлик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мажбурий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тартибда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келишилади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44B2C8B6" w14:textId="58F00236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6" w:name="cmyH"/>
      <w:bookmarkEnd w:id="16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Фармонга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кўра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раисига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қўшимча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ҳуқуқлар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берилди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</w:p>
    <w:p w14:paraId="19CACA95" w14:textId="004457FC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7" w:name="ZKTG"/>
      <w:bookmarkEnd w:id="17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раиси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жумладан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, туман (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шаҳар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)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ҳокими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ёрдамчиси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ёшлар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етакчиси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фаоли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ички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органлари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таянч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пункти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профилактика (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катта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)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инспекторларини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рағбатлантириш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ёки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уларга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нисбатан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эгаллаб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турган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лавозимидан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озод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этишгача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жазо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чораларини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қўллаш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бўйича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мазкур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ходимларнинг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юқори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турувчи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ташкилотларига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кўриб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чиқилиши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мажбурий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тақдимномалар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киритиши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мумкин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13CA6F27" w14:textId="4CEECD3C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8" w:name="Cxfb"/>
      <w:bookmarkEnd w:id="18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  <w:t xml:space="preserve">2022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йил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1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июлгача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“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тўғрисида”ги</w:t>
      </w:r>
      <w:proofErr w:type="spellEnd"/>
      <w:proofErr w:type="gram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қонун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лойиҳаси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ишлаб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чиқилади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5816E769" w14:textId="660AF1E5" w:rsidR="00372D2E" w:rsidRPr="00372D2E" w:rsidRDefault="00372D2E" w:rsidP="006A769F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19" w:name="NPL9"/>
      <w:bookmarkEnd w:id="19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Фармон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шунингдек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аҳоли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муаммоларини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ўрганиш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таҳлил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қилиш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ҳамда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мурожаатларни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давлат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органлари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ташкилотлари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томонидан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кўриб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чиқишнинг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бир-бири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узвий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боғланган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тўрт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поғонали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“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–туман–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вилоят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–республика”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тизими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жорий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62BD2244" w14:textId="77777777" w:rsidR="00E5316B" w:rsidRPr="00372D2E" w:rsidRDefault="00E5316B" w:rsidP="006A769F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67058FE9" w14:textId="75A4AF94" w:rsidR="00372D2E" w:rsidRDefault="00372D2E" w:rsidP="002C070F">
      <w:pPr>
        <w:spacing w:before="100" w:beforeAutospacing="1"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“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Оила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ва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хотин-қизлар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давлат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қўмитаси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фаолиятини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ташкил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этиш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тўғрисида”ги</w:t>
      </w:r>
      <w:proofErr w:type="spellEnd"/>
      <w:proofErr w:type="gram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Президент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қарори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(ПҚ–146-сон, 01.03.2022 й.)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қабул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қилинди</w:t>
      </w:r>
      <w:proofErr w:type="spellEnd"/>
      <w:r w:rsidRPr="002C070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.</w:t>
      </w:r>
    </w:p>
    <w:p w14:paraId="5B6EBC47" w14:textId="40E137D2" w:rsidR="00372D2E" w:rsidRPr="00372D2E" w:rsidRDefault="00372D2E" w:rsidP="00372D2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0" w:name="mxao"/>
      <w:bookmarkEnd w:id="20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Қарор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Хотин-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қизларнинг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жамиятдаги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ролини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ошириш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гендер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тенглик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масалалари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бўйича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республика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комиссияси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ташкил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4239D971" w14:textId="1B27579F" w:rsidR="00372D2E" w:rsidRPr="00372D2E" w:rsidRDefault="00372D2E" w:rsidP="00372D2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1" w:name="G1GS"/>
      <w:bookmarkEnd w:id="21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Қарорга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кўра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маҳаллалардаги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фаоллари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лавозимларига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номзодлар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очиқ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танловлар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асосида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қабул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қилинади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4057A23C" w14:textId="4F592A8E" w:rsidR="00372D2E" w:rsidRPr="00372D2E" w:rsidRDefault="00372D2E" w:rsidP="00372D2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2" w:name="5cxF"/>
      <w:bookmarkEnd w:id="22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  <w:t xml:space="preserve">Ушбу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лавозимга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оила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ишлаш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тажрибасига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шахсий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фазилатлари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намуна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кўрсатган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фидойи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садоқатли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номзодлар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тайинланади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7CF7BDFF" w14:textId="2AC2617A" w:rsidR="00372D2E" w:rsidRPr="00372D2E" w:rsidRDefault="00372D2E" w:rsidP="00372D2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3" w:name="LhyF"/>
      <w:bookmarkEnd w:id="23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  <w:t xml:space="preserve">2022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йил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1 майдан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фаолининг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ойлик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ҳақи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миқдори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у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бириктирилган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хонадонлар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сонига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мутаносиб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равишда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қуйидагича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белгиланади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:</w:t>
      </w:r>
    </w:p>
    <w:p w14:paraId="4740D68C" w14:textId="77777777" w:rsidR="00372D2E" w:rsidRPr="00372D2E" w:rsidRDefault="00372D2E" w:rsidP="00372D2E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4" w:name="iwGh"/>
      <w:bookmarkEnd w:id="24"/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хонадонлар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сони 500 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тагача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меҳнатга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тўлашнинг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кам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миқдорининг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3,5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баравари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(2 млн 877 </w:t>
      </w:r>
      <w:proofErr w:type="spellStart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минг</w:t>
      </w:r>
      <w:proofErr w:type="spellEnd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сўм</w:t>
      </w:r>
      <w:proofErr w:type="spellEnd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)</w:t>
      </w:r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миқдорида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;</w:t>
      </w:r>
    </w:p>
    <w:p w14:paraId="1D739CE4" w14:textId="77777777" w:rsidR="00372D2E" w:rsidRPr="00372D2E" w:rsidRDefault="00372D2E" w:rsidP="00372D2E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5" w:name="KqcM"/>
      <w:bookmarkEnd w:id="25"/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хонадонлар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сони 501 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1 000 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тагача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меҳнатга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тўлашнинг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кам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миқдорининг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4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баравари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(3 млн 288 </w:t>
      </w:r>
      <w:proofErr w:type="spellStart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минг</w:t>
      </w:r>
      <w:proofErr w:type="spellEnd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сўм</w:t>
      </w:r>
      <w:proofErr w:type="spellEnd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)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миқдорида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;</w:t>
      </w:r>
    </w:p>
    <w:p w14:paraId="77569D1C" w14:textId="77777777" w:rsidR="00372D2E" w:rsidRPr="00372D2E" w:rsidRDefault="00372D2E" w:rsidP="00372D2E">
      <w:pPr>
        <w:spacing w:after="0" w:line="240" w:lineRule="auto"/>
        <w:ind w:left="72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6" w:name="eemq"/>
      <w:bookmarkEnd w:id="26"/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хонадонлар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сони 1 000 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ортиқ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бўлган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–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меҳнатга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тўлашнинг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кам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миқдорининг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4,5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баравари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(3 млн 699 </w:t>
      </w:r>
      <w:proofErr w:type="spellStart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минг</w:t>
      </w:r>
      <w:proofErr w:type="spellEnd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сўм</w:t>
      </w:r>
      <w:proofErr w:type="spellEnd"/>
      <w:r w:rsidRPr="00372D2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)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миқдорида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50D6238C" w14:textId="2EAC63A9" w:rsidR="00372D2E" w:rsidRPr="00372D2E" w:rsidRDefault="00372D2E" w:rsidP="00372D2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7" w:name="NWyZ"/>
      <w:bookmarkEnd w:id="27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ab/>
        <w:t xml:space="preserve">2022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йил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1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августгача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маҳаллалардаги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хотин-қизлар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фаоллари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“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Аёллар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дафтари”ни</w:t>
      </w:r>
      <w:proofErr w:type="spellEnd"/>
      <w:proofErr w:type="gram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юритиш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масофадан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туриб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ҳисоботлар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тақдим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ҳамда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видеоконференцалоқа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шаклида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йиғилишларда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иштирок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имконини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берувчи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планшетлар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таъминланади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421E8CBF" w14:textId="26780956" w:rsidR="00372D2E" w:rsidRPr="00372D2E" w:rsidRDefault="00372D2E" w:rsidP="00372D2E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bookmarkStart w:id="28" w:name="cBpK"/>
      <w:bookmarkEnd w:id="28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ab/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Қарор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билан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шунингдек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Бош прокуратура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тузилмасида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Хотин-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қизлар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ҳуқуқларини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таъминлаш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ҳамда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уларни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тазйиқ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ва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зўравонликдан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ҳимоя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қилиш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соҳаларида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қонунчилик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ижроси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устидан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назорат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бошқармаси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ташкил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этилди</w:t>
      </w:r>
      <w:proofErr w:type="spellEnd"/>
      <w:r w:rsidRPr="00372D2E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14:paraId="685BCEB6" w14:textId="77777777" w:rsidR="00E5316B" w:rsidRPr="00372D2E" w:rsidRDefault="00E5316B" w:rsidP="00372D2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5BAE0E71" w14:textId="77777777" w:rsidR="00E5316B" w:rsidRPr="00372D2E" w:rsidRDefault="00E5316B" w:rsidP="00372D2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14:paraId="5338EE40" w14:textId="77777777" w:rsidR="00E5316B" w:rsidRPr="00372D2E" w:rsidRDefault="00E5316B" w:rsidP="00372D2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sectPr w:rsidR="00E5316B" w:rsidRPr="0037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13AA"/>
    <w:multiLevelType w:val="multilevel"/>
    <w:tmpl w:val="4B5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9153B"/>
    <w:multiLevelType w:val="multilevel"/>
    <w:tmpl w:val="3C8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176A1"/>
    <w:multiLevelType w:val="multilevel"/>
    <w:tmpl w:val="A2F8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5A"/>
    <w:rsid w:val="0011325A"/>
    <w:rsid w:val="002C070F"/>
    <w:rsid w:val="00337C5D"/>
    <w:rsid w:val="00372D2E"/>
    <w:rsid w:val="006545F4"/>
    <w:rsid w:val="006A769F"/>
    <w:rsid w:val="006E13EA"/>
    <w:rsid w:val="008C7B06"/>
    <w:rsid w:val="00A27EF7"/>
    <w:rsid w:val="00E5316B"/>
    <w:rsid w:val="00F2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1E0A"/>
  <w15:chartTrackingRefBased/>
  <w15:docId w15:val="{D6B9144D-D86C-436D-B576-866D9250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Байбурина Ильмира Равильевна</dc:creator>
  <cp:keywords/>
  <dc:description/>
  <cp:lastModifiedBy>Байбурина Ильмира Равильевна</cp:lastModifiedBy>
  <cp:revision>10</cp:revision>
  <dcterms:created xsi:type="dcterms:W3CDTF">2022-03-24T09:22:00Z</dcterms:created>
  <dcterms:modified xsi:type="dcterms:W3CDTF">2022-03-25T09:19:00Z</dcterms:modified>
</cp:coreProperties>
</file>